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tabs>
          <w:tab w:val="right" w:pos="10800" w:leader="underscore"/>
        </w:tabs>
      </w:pPr>
      <w:r>
        <w:rPr>
          <w:rtl w:val="0"/>
          <w:lang w:val="en-US"/>
        </w:rPr>
        <w:t xml:space="preserve">We sing,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O To Be Like Thee,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#97 in our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Hymns for Worship.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Since we are to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worship in spirit and truth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</w:t>
      </w:r>
      <w:r>
        <w:rPr>
          <w:b w:val="1"/>
          <w:bCs w:val="1"/>
          <w:rtl w:val="0"/>
          <w:lang w:val="en-US"/>
        </w:rPr>
        <w:t>Jn 4:24</w:t>
      </w:r>
      <w:r>
        <w:rPr>
          <w:rtl w:val="0"/>
          <w:lang w:val="en-US"/>
        </w:rPr>
        <w:t xml:space="preserve">), and our singing should be the fruit of letting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the word of Christ richly dwell within you,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it will </w:t>
      </w:r>
      <w:r>
        <w:rPr>
          <w:rtl w:val="0"/>
          <w:lang w:val="fr-FR"/>
        </w:rPr>
        <w:t>encourage</w:t>
      </w:r>
      <w:r>
        <w:rPr>
          <w:rtl w:val="0"/>
          <w:lang w:val="en-US"/>
        </w:rPr>
        <w:t xml:space="preserve"> us to use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a</w:t>
      </w:r>
      <w:r>
        <w:rPr>
          <w:rtl w:val="0"/>
          <w:lang w:val="en-US"/>
        </w:rPr>
        <w:t>ll wisdom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when we are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teaching and admonishing one another with psalms and hymns and spiritual songs</w:t>
      </w:r>
      <w:r>
        <w:rPr>
          <w:rtl w:val="0"/>
          <w:lang w:val="en-US"/>
        </w:rPr>
        <w:t>”</w:t>
      </w:r>
      <w:r>
        <w:rPr>
          <w:rtl w:val="0"/>
        </w:rPr>
        <w:t xml:space="preserve"> </w:t>
      </w:r>
      <w:r>
        <w:rPr>
          <w:rtl w:val="0"/>
          <w:lang w:val="en-US"/>
        </w:rPr>
        <w:t>(</w:t>
      </w:r>
      <w:r>
        <w:rPr>
          <w:b w:val="1"/>
          <w:bCs w:val="1"/>
          <w:rtl w:val="0"/>
          <w:lang w:val="en-US"/>
        </w:rPr>
        <w:t>Col 3:16</w:t>
      </w:r>
      <w:r>
        <w:rPr>
          <w:rtl w:val="0"/>
          <w:lang w:val="en-US"/>
        </w:rPr>
        <w:t>). That being true, it is profitable from time to time to consider the words we sing, and in this class we will focus on this particular song.</w:t>
      </w:r>
    </w:p>
    <w:p>
      <w:pPr>
        <w:pStyle w:val="Body"/>
        <w:tabs>
          <w:tab w:val="right" w:pos="10800" w:leader="underscore"/>
        </w:tabs>
      </w:pPr>
    </w:p>
    <w:p>
      <w:pPr>
        <w:pStyle w:val="Body"/>
        <w:tabs>
          <w:tab w:val="right" w:pos="10800" w:leader="underscore"/>
        </w:tabs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en-US"/>
        </w:rPr>
        <w:t>Verse 1</w:t>
      </w:r>
      <w:r>
        <w:rPr>
          <w:b w:val="0"/>
          <w:bCs w:val="0"/>
          <w:u w:val="none"/>
          <w:rtl w:val="0"/>
          <w:lang w:val="en-US"/>
        </w:rPr>
        <w:t xml:space="preserve"> “</w:t>
      </w:r>
      <w:r>
        <w:rPr>
          <w:b w:val="0"/>
          <w:bCs w:val="0"/>
          <w:u w:val="none"/>
          <w:rtl w:val="0"/>
          <w:lang w:val="en-US"/>
        </w:rPr>
        <w:t>O to be like Thee</w:t>
      </w:r>
      <w:r>
        <w:rPr>
          <w:b w:val="0"/>
          <w:bCs w:val="0"/>
          <w:u w:val="none"/>
          <w:rtl w:val="0"/>
          <w:lang w:val="en-US"/>
        </w:rPr>
        <w:t>…</w:t>
      </w:r>
      <w:r>
        <w:rPr>
          <w:b w:val="0"/>
          <w:bCs w:val="0"/>
          <w:u w:val="none"/>
          <w:rtl w:val="0"/>
          <w:lang w:val="en-US"/>
        </w:rPr>
        <w:t>Jesus, Thy perfect likeness to wear.</w:t>
      </w:r>
      <w:r>
        <w:rPr>
          <w:b w:val="0"/>
          <w:bCs w:val="0"/>
          <w:u w:val="none"/>
          <w:rtl w:val="0"/>
          <w:lang w:val="en-US"/>
        </w:rPr>
        <w:t>”</w:t>
      </w:r>
    </w:p>
    <w:p>
      <w:pPr>
        <w:pStyle w:val="Body"/>
        <w:numPr>
          <w:ilvl w:val="0"/>
          <w:numId w:val="2"/>
        </w:numPr>
        <w:spacing w:before="80"/>
        <w:rPr>
          <w:lang w:val="en-US"/>
        </w:rPr>
      </w:pPr>
      <w:r>
        <w:rPr>
          <w:rtl w:val="0"/>
          <w:lang w:val="en-US"/>
        </w:rPr>
        <w:t>Jesus never married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do you want to be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like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Him? Jesus never owned a house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do you want to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wear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his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perfect likeness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 xml:space="preserve">? If not, what do you mean when you sing,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O to be like Thee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 xml:space="preserve">? </w:t>
        <w:tab/>
      </w:r>
    </w:p>
    <w:p>
      <w:pPr>
        <w:pStyle w:val="Body"/>
        <w:tabs>
          <w:tab w:val="right" w:pos="10800" w:leader="underscore"/>
        </w:tabs>
        <w:ind w:left="360"/>
      </w:pPr>
      <w:r>
        <w:tab/>
      </w:r>
    </w:p>
    <w:p>
      <w:pPr>
        <w:pStyle w:val="Body"/>
        <w:tabs>
          <w:tab w:val="right" w:pos="10800" w:leader="underscore"/>
        </w:tabs>
        <w:ind w:left="360"/>
      </w:pPr>
    </w:p>
    <w:p>
      <w:pPr>
        <w:pStyle w:val="Body"/>
        <w:tabs>
          <w:tab w:val="right" w:pos="10800" w:leader="underscore"/>
        </w:tabs>
      </w:pPr>
      <w:r>
        <w:rPr>
          <w:b w:val="1"/>
          <w:bCs w:val="1"/>
          <w:u w:val="single"/>
          <w:rtl w:val="0"/>
          <w:lang w:val="en-US"/>
        </w:rPr>
        <w:t>Verse 2</w:t>
      </w:r>
      <w:r>
        <w:rPr>
          <w:rtl w:val="0"/>
          <w:lang w:val="en-US"/>
        </w:rPr>
        <w:t xml:space="preserve"> “</w:t>
      </w:r>
      <w:r>
        <w:rPr>
          <w:rtl w:val="0"/>
          <w:lang w:val="en-US"/>
        </w:rPr>
        <w:t>O to be like Thee! full of compassion, loving, forgiving, tender, and kind, helping the helpless, cheering the fainting, seeking the wandering sinner to find.</w:t>
      </w:r>
      <w:r>
        <w:rPr>
          <w:rtl w:val="0"/>
          <w:lang w:val="en-US"/>
        </w:rPr>
        <w:t>”</w:t>
      </w:r>
    </w:p>
    <w:p>
      <w:pPr>
        <w:pStyle w:val="Body"/>
        <w:numPr>
          <w:ilvl w:val="0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>Jesus was willing to forgive people who had engaged in all kinds of immoral deeds and who sometimes had a terrible reputation (</w:t>
      </w:r>
      <w:r>
        <w:rPr>
          <w:b w:val="1"/>
          <w:bCs w:val="1"/>
          <w:rtl w:val="0"/>
          <w:lang w:val="en-US"/>
        </w:rPr>
        <w:t>Jn 8:1-11; Lk 7:36-50; 1Co 6:9-11; 1Co 5:1</w:t>
      </w:r>
      <w:r>
        <w:rPr>
          <w:b w:val="1"/>
          <w:bCs w:val="1"/>
          <w:rtl w:val="0"/>
          <w:lang w:val="en-US"/>
        </w:rPr>
        <w:t>…</w:t>
      </w:r>
      <w:r>
        <w:rPr>
          <w:b w:val="1"/>
          <w:bCs w:val="1"/>
          <w:rtl w:val="0"/>
          <w:lang w:val="en-US"/>
        </w:rPr>
        <w:t>2Co 2:8-11</w:t>
      </w:r>
      <w:r>
        <w:rPr>
          <w:rtl w:val="0"/>
          <w:lang w:val="en-US"/>
        </w:rPr>
        <w:t xml:space="preserve">). </w:t>
      </w:r>
    </w:p>
    <w:p>
      <w:pPr>
        <w:pStyle w:val="Body"/>
        <w:numPr>
          <w:ilvl w:val="1"/>
          <w:numId w:val="2"/>
        </w:numPr>
        <w:spacing w:before="80"/>
        <w:rPr>
          <w:lang w:val="en-US"/>
        </w:rPr>
      </w:pPr>
      <w:r>
        <w:rPr>
          <w:rtl w:val="0"/>
          <w:lang w:val="en-US"/>
        </w:rPr>
        <w:t xml:space="preserve">To be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like Thee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(Jesus) in my attitude and conduct toward those who have messed up their lives, hurt others, and destroyed their reputation, what must I be ready to do? (</w:t>
      </w:r>
      <w:r>
        <w:rPr>
          <w:b w:val="1"/>
          <w:bCs w:val="1"/>
          <w:rtl w:val="0"/>
          <w:lang w:val="en-US"/>
        </w:rPr>
        <w:t>2Co 2:6-11</w:t>
      </w:r>
      <w:r>
        <w:rPr>
          <w:rtl w:val="0"/>
          <w:lang w:val="en-US"/>
        </w:rPr>
        <w:t xml:space="preserve">). </w:t>
        <w:tab/>
      </w:r>
    </w:p>
    <w:p>
      <w:pPr>
        <w:pStyle w:val="Body"/>
        <w:tabs>
          <w:tab w:val="right" w:pos="10800" w:leader="underscore"/>
        </w:tabs>
        <w:ind w:left="720"/>
      </w:pPr>
      <w:r>
        <w:tab/>
      </w:r>
    </w:p>
    <w:p>
      <w:pPr>
        <w:pStyle w:val="Body"/>
        <w:tabs>
          <w:tab w:val="right" w:pos="10800" w:leader="underscore"/>
        </w:tabs>
        <w:ind w:left="720"/>
      </w:pPr>
      <w:r>
        <w:rPr>
          <w:rtl w:val="0"/>
          <w:lang w:val="en-US"/>
        </w:rPr>
        <w:t xml:space="preserve">Contrast the attitude Jesus says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religious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man had</w:t>
      </w:r>
      <w:r>
        <w:rPr>
          <w:rtl w:val="0"/>
          <w:lang w:val="en-US"/>
        </w:rPr>
        <w:t>—</w:t>
      </w:r>
      <w:r>
        <w:rPr>
          <w:b w:val="1"/>
          <w:bCs w:val="1"/>
          <w:rtl w:val="0"/>
          <w:lang w:val="en-US"/>
        </w:rPr>
        <w:t>Lk 18:9-14</w:t>
      </w:r>
      <w:r>
        <w:rPr>
          <w:rtl w:val="0"/>
          <w:lang w:val="en-US"/>
        </w:rPr>
        <w:t>.</w:t>
      </w:r>
    </w:p>
    <w:p>
      <w:pPr>
        <w:pStyle w:val="Body"/>
        <w:numPr>
          <w:ilvl w:val="1"/>
          <w:numId w:val="2"/>
        </w:numPr>
        <w:spacing w:before="80"/>
        <w:rPr>
          <w:lang w:val="en-US"/>
        </w:rPr>
      </w:pPr>
      <w:r>
        <w:rPr>
          <w:rtl w:val="0"/>
          <w:lang w:val="en-US"/>
        </w:rPr>
        <w:t xml:space="preserve">What did Jesus say about those who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cannot forgive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>? (</w:t>
      </w:r>
      <w:r>
        <w:rPr>
          <w:b w:val="1"/>
          <w:bCs w:val="1"/>
          <w:rtl w:val="0"/>
          <w:lang w:val="en-US"/>
        </w:rPr>
        <w:t>Mt 6:14-15; 18:23-25</w:t>
      </w:r>
      <w:r>
        <w:rPr>
          <w:rtl w:val="0"/>
          <w:lang w:val="en-US"/>
        </w:rPr>
        <w:t xml:space="preserve">) </w:t>
        <w:tab/>
      </w:r>
    </w:p>
    <w:p>
      <w:pPr>
        <w:pStyle w:val="Body"/>
        <w:tabs>
          <w:tab w:val="right" w:pos="10800" w:leader="underscore"/>
        </w:tabs>
        <w:ind w:left="720"/>
      </w:pPr>
      <w:r>
        <w:tab/>
      </w:r>
    </w:p>
    <w:p>
      <w:pPr>
        <w:pStyle w:val="Body"/>
        <w:numPr>
          <w:ilvl w:val="0"/>
          <w:numId w:val="2"/>
        </w:numPr>
        <w:spacing w:before="120"/>
        <w:rPr>
          <w:spacing w:val="0"/>
          <w:lang w:val="en-US"/>
        </w:rPr>
      </w:pPr>
      <w:r>
        <w:rPr>
          <w:spacing w:val="0"/>
          <w:rtl w:val="0"/>
          <w:lang w:val="en-US"/>
        </w:rPr>
        <w:t>Would you describe Jesus</w:t>
      </w:r>
      <w:r>
        <w:rPr>
          <w:spacing w:val="0"/>
          <w:rtl w:val="0"/>
          <w:lang w:val="en-US"/>
        </w:rPr>
        <w:t xml:space="preserve">’ </w:t>
      </w:r>
      <w:r>
        <w:rPr>
          <w:spacing w:val="0"/>
          <w:rtl w:val="0"/>
          <w:lang w:val="en-US"/>
        </w:rPr>
        <w:t>words in the following examples</w:t>
      </w:r>
      <w:r>
        <w:rPr>
          <w:i w:val="1"/>
          <w:iCs w:val="1"/>
          <w:spacing w:val="0"/>
          <w:rtl w:val="0"/>
          <w:lang w:val="en-US"/>
        </w:rPr>
        <w:t xml:space="preserve"> </w:t>
      </w:r>
      <w:r>
        <w:rPr>
          <w:spacing w:val="0"/>
          <w:rtl w:val="0"/>
          <w:lang w:val="en-US"/>
        </w:rPr>
        <w:t>“</w:t>
      </w:r>
      <w:r>
        <w:rPr>
          <w:spacing w:val="0"/>
          <w:rtl w:val="0"/>
          <w:lang w:val="en-US"/>
        </w:rPr>
        <w:t>tender and kind</w:t>
      </w:r>
      <w:r>
        <w:rPr>
          <w:spacing w:val="0"/>
          <w:rtl w:val="0"/>
          <w:lang w:val="en-US"/>
        </w:rPr>
        <w:t>”</w:t>
      </w:r>
      <w:r>
        <w:rPr>
          <w:spacing w:val="0"/>
          <w:rtl w:val="0"/>
          <w:lang w:val="en-US"/>
        </w:rPr>
        <w:t xml:space="preserve">? If not, how would you describe them, and why did he speak this way? </w:t>
      </w:r>
      <w:r>
        <w:rPr>
          <w:b w:val="1"/>
          <w:bCs w:val="1"/>
          <w:spacing w:val="0"/>
          <w:rtl w:val="0"/>
          <w:lang w:val="en-US"/>
        </w:rPr>
        <w:t>Mt 16:23; Mt 23:13-39; Jn 8:24,44-47</w:t>
      </w:r>
      <w:r>
        <w:rPr>
          <w:spacing w:val="0"/>
          <w:rtl w:val="0"/>
          <w:lang w:val="en-US"/>
        </w:rPr>
        <w:t xml:space="preserve">. </w:t>
        <w:tab/>
      </w:r>
    </w:p>
    <w:p>
      <w:pPr>
        <w:pStyle w:val="Body"/>
        <w:tabs>
          <w:tab w:val="right" w:pos="10800" w:leader="underscore"/>
        </w:tabs>
        <w:ind w:left="360"/>
        <w:rPr>
          <w:spacing w:val="0"/>
        </w:rPr>
      </w:pPr>
      <w:r>
        <w:rPr>
          <w:spacing w:val="0"/>
        </w:rPr>
        <w:tab/>
      </w:r>
    </w:p>
    <w:p>
      <w:pPr>
        <w:pStyle w:val="Body"/>
        <w:numPr>
          <w:ilvl w:val="0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What can we </w:t>
      </w:r>
      <w:r>
        <w:rPr>
          <w:i w:val="1"/>
          <w:iCs w:val="1"/>
          <w:rtl w:val="0"/>
          <w:lang w:val="en-US"/>
        </w:rPr>
        <w:t>do</w:t>
      </w:r>
      <w:r>
        <w:rPr>
          <w:rtl w:val="0"/>
          <w:lang w:val="en-US"/>
        </w:rPr>
        <w:t xml:space="preserve"> to be more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like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Jesus,</w:t>
      </w:r>
      <w:r>
        <w:rPr>
          <w:rtl w:val="0"/>
          <w:lang w:val="en-US"/>
        </w:rPr>
        <w:t>—“</w:t>
      </w:r>
      <w:r>
        <w:rPr>
          <w:rtl w:val="0"/>
          <w:lang w:val="en-US"/>
        </w:rPr>
        <w:t>helping the helpless, cheering the fainting, seeking the wandering sinner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 xml:space="preserve">? </w:t>
        <w:tab/>
      </w:r>
    </w:p>
    <w:p>
      <w:pPr>
        <w:pStyle w:val="Body"/>
        <w:tabs>
          <w:tab w:val="right" w:pos="10800" w:leader="underscore"/>
        </w:tabs>
        <w:ind w:left="360"/>
      </w:pPr>
      <w:r>
        <w:tab/>
      </w:r>
    </w:p>
    <w:p>
      <w:pPr>
        <w:pStyle w:val="Body"/>
        <w:tabs>
          <w:tab w:val="right" w:pos="10800" w:leader="underscore"/>
        </w:tabs>
        <w:ind w:left="360"/>
      </w:pPr>
      <w:r>
        <w:rPr>
          <w:rtl w:val="0"/>
          <w:lang w:val="en-US"/>
        </w:rPr>
        <w:t>For personal introspection (</w:t>
      </w:r>
      <w:r>
        <w:rPr>
          <w:b w:val="1"/>
          <w:bCs w:val="1"/>
          <w:rtl w:val="0"/>
          <w:lang w:val="en-US"/>
        </w:rPr>
        <w:t>Jam 1:22-25</w:t>
      </w:r>
      <w:r>
        <w:rPr>
          <w:rtl w:val="0"/>
          <w:lang w:val="en-US"/>
        </w:rPr>
        <w:t xml:space="preserve">) </w:t>
      </w:r>
      <w:r>
        <w:rPr>
          <w:rtl w:val="0"/>
          <w:lang w:val="en-US"/>
        </w:rPr>
        <w:t xml:space="preserve">— </w:t>
      </w:r>
      <w:r>
        <w:rPr>
          <w:i w:val="1"/>
          <w:iCs w:val="1"/>
          <w:rtl w:val="0"/>
          <w:lang w:val="en-US"/>
        </w:rPr>
        <w:t>When</w:t>
      </w:r>
      <w:r>
        <w:rPr>
          <w:rtl w:val="0"/>
          <w:lang w:val="en-US"/>
        </w:rPr>
        <w:t xml:space="preserve"> is the last time you have done any of these?</w:t>
      </w:r>
    </w:p>
    <w:p>
      <w:pPr>
        <w:pStyle w:val="Body"/>
        <w:tabs>
          <w:tab w:val="right" w:pos="10800" w:leader="underscore"/>
        </w:tabs>
        <w:ind w:left="360"/>
      </w:pPr>
    </w:p>
    <w:p>
      <w:pPr>
        <w:pStyle w:val="Default"/>
        <w:tabs>
          <w:tab w:val="right" w:pos="10800"/>
        </w:tabs>
        <w:suppressAutoHyphens w:val="1"/>
        <w:spacing w:before="0" w:line="240" w:lineRule="auto"/>
        <w:jc w:val="left"/>
        <w:rPr>
          <w:b w:val="0"/>
          <w:bCs w:val="0"/>
          <w:sz w:val="24"/>
          <w:szCs w:val="24"/>
          <w:u w:val="none" w:color="000000"/>
        </w:rPr>
      </w:pPr>
      <w:r>
        <w:rPr>
          <w:b w:val="1"/>
          <w:bCs w:val="1"/>
          <w:sz w:val="24"/>
          <w:szCs w:val="24"/>
          <w:u w:val="single" w:color="000000"/>
          <w:rtl w:val="0"/>
          <w:lang w:val="de-DE"/>
        </w:rPr>
        <w:t xml:space="preserve">Verse </w:t>
      </w:r>
      <w:r>
        <w:rPr>
          <w:b w:val="1"/>
          <w:bCs w:val="1"/>
          <w:sz w:val="24"/>
          <w:szCs w:val="24"/>
          <w:u w:val="single" w:color="000000"/>
          <w:rtl w:val="0"/>
          <w:lang w:val="en-US"/>
        </w:rPr>
        <w:t>3</w:t>
      </w:r>
      <w:r>
        <w:rPr>
          <w:b w:val="0"/>
          <w:bCs w:val="0"/>
          <w:sz w:val="24"/>
          <w:szCs w:val="24"/>
          <w:u w:val="none" w:color="000000"/>
          <w:rtl w:val="1"/>
          <w:lang w:val="ar-SA" w:bidi="ar-SA"/>
        </w:rPr>
        <w:t xml:space="preserve"> “</w:t>
      </w:r>
      <w:r>
        <w:rPr>
          <w:b w:val="0"/>
          <w:bCs w:val="0"/>
          <w:sz w:val="24"/>
          <w:szCs w:val="24"/>
          <w:u w:val="none" w:color="000000"/>
          <w:rtl w:val="0"/>
          <w:lang w:val="en-US"/>
        </w:rPr>
        <w:t>O to be like Thee</w:t>
      </w:r>
      <w:r>
        <w:rPr>
          <w:b w:val="0"/>
          <w:bCs w:val="0"/>
          <w:sz w:val="24"/>
          <w:szCs w:val="24"/>
          <w:u w:val="none" w:color="000000"/>
          <w:rtl w:val="0"/>
          <w:lang w:val="en-US"/>
        </w:rPr>
        <w:t xml:space="preserve">… </w:t>
      </w:r>
      <w:r>
        <w:rPr>
          <w:b w:val="0"/>
          <w:bCs w:val="0"/>
          <w:sz w:val="24"/>
          <w:szCs w:val="24"/>
          <w:u w:val="none" w:color="000000"/>
          <w:rtl w:val="0"/>
          <w:lang w:val="en-US"/>
        </w:rPr>
        <w:t>harmless</w:t>
      </w:r>
      <w:r>
        <w:rPr>
          <w:b w:val="0"/>
          <w:bCs w:val="0"/>
          <w:sz w:val="24"/>
          <w:szCs w:val="24"/>
          <w:u w:val="none" w:color="000000"/>
          <w:rtl w:val="0"/>
          <w:lang w:val="en-US"/>
        </w:rPr>
        <w:t>…”</w:t>
      </w:r>
    </w:p>
    <w:p>
      <w:pPr>
        <w:pStyle w:val="Body"/>
        <w:numPr>
          <w:ilvl w:val="0"/>
          <w:numId w:val="2"/>
        </w:numPr>
        <w:spacing w:before="120"/>
        <w:rPr>
          <w:spacing w:val="0"/>
          <w:lang w:val="en-US"/>
        </w:rPr>
      </w:pPr>
      <w:r>
        <w:rPr>
          <w:spacing w:val="0"/>
          <w:rtl w:val="0"/>
          <w:lang w:val="en-US"/>
        </w:rPr>
        <w:t xml:space="preserve">How do you define </w:t>
      </w:r>
      <w:r>
        <w:rPr>
          <w:spacing w:val="0"/>
          <w:rtl w:val="0"/>
          <w:lang w:val="en-US"/>
        </w:rPr>
        <w:t>“</w:t>
      </w:r>
      <w:r>
        <w:rPr>
          <w:spacing w:val="0"/>
          <w:rtl w:val="0"/>
          <w:lang w:val="en-US"/>
        </w:rPr>
        <w:t>harmless</w:t>
      </w:r>
      <w:r>
        <w:rPr>
          <w:spacing w:val="0"/>
          <w:rtl w:val="0"/>
          <w:lang w:val="en-US"/>
        </w:rPr>
        <w:t>”</w:t>
      </w:r>
      <w:r>
        <w:rPr>
          <w:spacing w:val="0"/>
          <w:rtl w:val="0"/>
          <w:lang w:val="en-US"/>
        </w:rPr>
        <w:t xml:space="preserve">? </w:t>
        <w:tab/>
      </w:r>
    </w:p>
    <w:p>
      <w:pPr>
        <w:pStyle w:val="Body"/>
        <w:numPr>
          <w:ilvl w:val="0"/>
          <w:numId w:val="2"/>
        </w:numPr>
        <w:spacing w:before="120"/>
        <w:rPr>
          <w:spacing w:val="0"/>
          <w:lang w:val="en-US"/>
        </w:rPr>
      </w:pPr>
      <w:r>
        <w:rPr>
          <w:spacing w:val="0"/>
          <w:rtl w:val="0"/>
          <w:lang w:val="en-US"/>
        </w:rPr>
        <w:t xml:space="preserve">Based on these Scriptures, does Jesus fit your definition of </w:t>
      </w:r>
      <w:r>
        <w:rPr>
          <w:spacing w:val="0"/>
          <w:rtl w:val="0"/>
          <w:lang w:val="en-US"/>
        </w:rPr>
        <w:t>“</w:t>
      </w:r>
      <w:r>
        <w:rPr>
          <w:spacing w:val="0"/>
          <w:rtl w:val="0"/>
          <w:lang w:val="en-US"/>
        </w:rPr>
        <w:t>harmless</w:t>
      </w:r>
      <w:r>
        <w:rPr>
          <w:spacing w:val="0"/>
          <w:rtl w:val="0"/>
          <w:lang w:val="en-US"/>
        </w:rPr>
        <w:t>”</w:t>
      </w:r>
      <w:r>
        <w:rPr>
          <w:spacing w:val="0"/>
          <w:rtl w:val="0"/>
          <w:lang w:val="en-US"/>
        </w:rPr>
        <w:t xml:space="preserve">? </w:t>
      </w:r>
      <w:r>
        <w:rPr>
          <w:b w:val="1"/>
          <w:bCs w:val="1"/>
          <w:spacing w:val="0"/>
          <w:rtl w:val="0"/>
          <w:lang w:val="en-US"/>
        </w:rPr>
        <w:t>Mt 8:30-32; 25:41; Jn 2:15</w:t>
      </w:r>
      <w:r>
        <w:rPr>
          <w:spacing w:val="0"/>
        </w:rPr>
        <w:tab/>
      </w:r>
    </w:p>
    <w:p>
      <w:pPr>
        <w:pStyle w:val="Body"/>
        <w:numPr>
          <w:ilvl w:val="0"/>
          <w:numId w:val="2"/>
        </w:numPr>
        <w:spacing w:before="120"/>
        <w:rPr>
          <w:spacing w:val="0"/>
          <w:lang w:val="en-US"/>
        </w:rPr>
      </w:pPr>
      <w:r>
        <w:rPr>
          <w:spacing w:val="0"/>
          <w:rtl w:val="0"/>
          <w:lang w:val="en-US"/>
        </w:rPr>
        <w:t xml:space="preserve">What is the difference in </w:t>
      </w:r>
      <w:r>
        <w:rPr>
          <w:spacing w:val="0"/>
          <w:rtl w:val="0"/>
          <w:lang w:val="en-US"/>
        </w:rPr>
        <w:t>“</w:t>
      </w:r>
      <w:r>
        <w:rPr>
          <w:spacing w:val="0"/>
          <w:rtl w:val="0"/>
          <w:lang w:val="en-US"/>
        </w:rPr>
        <w:t>character</w:t>
      </w:r>
      <w:r>
        <w:rPr>
          <w:spacing w:val="0"/>
          <w:rtl w:val="0"/>
          <w:lang w:val="en-US"/>
        </w:rPr>
        <w:t xml:space="preserve">” </w:t>
      </w:r>
      <w:r>
        <w:rPr>
          <w:spacing w:val="0"/>
          <w:rtl w:val="0"/>
          <w:lang w:val="en-US"/>
        </w:rPr>
        <w:t xml:space="preserve">and </w:t>
      </w:r>
      <w:r>
        <w:rPr>
          <w:spacing w:val="0"/>
          <w:rtl w:val="0"/>
          <w:lang w:val="en-US"/>
        </w:rPr>
        <w:t>“</w:t>
      </w:r>
      <w:r>
        <w:rPr>
          <w:spacing w:val="0"/>
          <w:rtl w:val="0"/>
          <w:lang w:val="en-US"/>
        </w:rPr>
        <w:t>caricature</w:t>
      </w:r>
      <w:r>
        <w:rPr>
          <w:spacing w:val="0"/>
          <w:rtl w:val="0"/>
          <w:lang w:val="en-US"/>
        </w:rPr>
        <w:t>”</w:t>
      </w:r>
      <w:r>
        <w:rPr>
          <w:spacing w:val="0"/>
          <w:rtl w:val="0"/>
          <w:lang w:val="en-US"/>
        </w:rPr>
        <w:t xml:space="preserve">? </w:t>
        <w:tab/>
        <w:tab/>
      </w:r>
    </w:p>
    <w:p>
      <w:pPr>
        <w:pStyle w:val="Body"/>
        <w:tabs>
          <w:tab w:val="right" w:pos="10800" w:leader="underscore"/>
        </w:tabs>
        <w:rPr>
          <w:spacing w:val="0"/>
        </w:rPr>
      </w:pPr>
    </w:p>
    <w:p>
      <w:pPr>
        <w:pStyle w:val="Body"/>
        <w:tabs>
          <w:tab w:val="right" w:pos="10800" w:leader="underscore"/>
        </w:tabs>
        <w:rPr>
          <w:spacing w:val="0"/>
        </w:rPr>
      </w:pPr>
      <w:r>
        <w:rPr>
          <w:b w:val="1"/>
          <w:bCs w:val="1"/>
          <w:spacing w:val="0"/>
          <w:u w:val="single"/>
          <w:rtl w:val="0"/>
          <w:lang w:val="de-DE"/>
        </w:rPr>
        <w:t xml:space="preserve">Verse </w:t>
      </w:r>
      <w:r>
        <w:rPr>
          <w:b w:val="1"/>
          <w:bCs w:val="1"/>
          <w:spacing w:val="0"/>
          <w:u w:val="single"/>
          <w:rtl w:val="0"/>
          <w:lang w:val="en-US"/>
        </w:rPr>
        <w:t>4</w:t>
      </w:r>
      <w:r>
        <w:rPr>
          <w:spacing w:val="0"/>
          <w:rtl w:val="1"/>
          <w:lang w:val="ar-SA" w:bidi="ar-SA"/>
        </w:rPr>
        <w:t xml:space="preserve"> “</w:t>
      </w:r>
      <w:r>
        <w:rPr>
          <w:spacing w:val="0"/>
          <w:rtl w:val="0"/>
          <w:lang w:val="en-US"/>
        </w:rPr>
        <w:t>O to be like Thee, Lord I am coming, Now to receive the anointing divine</w:t>
      </w:r>
      <w:r>
        <w:rPr>
          <w:spacing w:val="0"/>
          <w:rtl w:val="0"/>
          <w:lang w:val="en-US"/>
        </w:rPr>
        <w:t>…”</w:t>
      </w:r>
    </w:p>
    <w:p>
      <w:pPr>
        <w:pStyle w:val="Body"/>
        <w:numPr>
          <w:ilvl w:val="0"/>
          <w:numId w:val="2"/>
        </w:numPr>
        <w:spacing w:before="120"/>
        <w:rPr>
          <w:spacing w:val="0"/>
          <w:lang w:val="en-US"/>
        </w:rPr>
      </w:pPr>
      <w:r>
        <w:rPr>
          <w:spacing w:val="0"/>
          <w:rtl w:val="0"/>
          <w:lang w:val="en-US"/>
        </w:rPr>
        <w:t xml:space="preserve">What does it mean to YOU when you sing it? </w:t>
        <w:tab/>
      </w:r>
    </w:p>
    <w:p>
      <w:pPr>
        <w:pStyle w:val="Body"/>
        <w:tabs>
          <w:tab w:val="right" w:pos="10800" w:leader="underscore"/>
        </w:tabs>
        <w:ind w:left="360"/>
        <w:rPr>
          <w:spacing w:val="0"/>
        </w:rPr>
      </w:pPr>
      <w:r>
        <w:rPr>
          <w:spacing w:val="0"/>
        </w:rPr>
        <w:tab/>
      </w:r>
    </w:p>
    <w:p>
      <w:pPr>
        <w:pStyle w:val="Body"/>
        <w:tabs>
          <w:tab w:val="right" w:pos="10800" w:leader="underscore"/>
        </w:tabs>
        <w:ind w:left="360"/>
        <w:rPr>
          <w:spacing w:val="0"/>
        </w:rPr>
      </w:pPr>
      <w:r>
        <w:rPr>
          <w:spacing w:val="0"/>
          <w:rtl w:val="0"/>
          <w:lang w:val="en-US"/>
        </w:rPr>
        <w:t xml:space="preserve">We will discuss in class what the </w:t>
      </w:r>
      <w:r>
        <w:rPr>
          <w:i w:val="1"/>
          <w:iCs w:val="1"/>
          <w:spacing w:val="0"/>
          <w:rtl w:val="0"/>
          <w:lang w:val="en-US"/>
        </w:rPr>
        <w:t>author</w:t>
      </w:r>
      <w:r>
        <w:rPr>
          <w:spacing w:val="0"/>
          <w:rtl w:val="0"/>
          <w:lang w:val="en-US"/>
        </w:rPr>
        <w:t xml:space="preserve">, Thomas O. Chisholm, likely meant when he wrote it in 1897. Hopefully, it is </w:t>
      </w:r>
      <w:r>
        <w:rPr>
          <w:i w:val="1"/>
          <w:iCs w:val="1"/>
          <w:spacing w:val="0"/>
          <w:rtl w:val="0"/>
          <w:lang w:val="en-US"/>
        </w:rPr>
        <w:t>not</w:t>
      </w:r>
      <w:r>
        <w:rPr>
          <w:spacing w:val="0"/>
          <w:rtl w:val="0"/>
          <w:lang w:val="en-US"/>
        </w:rPr>
        <w:t xml:space="preserve"> what YOU mean when you sing it.</w:t>
      </w:r>
    </w:p>
    <w:p>
      <w:pPr>
        <w:pStyle w:val="Body"/>
        <w:tabs>
          <w:tab w:val="right" w:pos="10800" w:leader="underscore"/>
        </w:tabs>
      </w:pPr>
      <w:r>
        <w:rPr>
          <w:spacing w:val="0"/>
        </w:rP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1933932</wp:posOffset>
                </wp:positionH>
                <wp:positionV relativeFrom="page">
                  <wp:posOffset>386372</wp:posOffset>
                </wp:positionV>
                <wp:extent cx="2990136" cy="357848"/>
                <wp:effectExtent l="0" t="0" r="0" b="0"/>
                <wp:wrapNone/>
                <wp:docPr id="1073741825" name="officeArt object" descr="Sun 5pm - Mar 15, 2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136" cy="357848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z w:val="34"/>
                                <w:szCs w:val="34"/>
                                <w:rtl w:val="0"/>
                                <w:lang w:val="en-US"/>
                              </w:rPr>
                              <w:t>Sun 5pm - Mar 15, 2026</w:t>
                            </w:r>
                          </w:p>
                        </w:txbxContent>
                      </wps:txbx>
                      <wps:bodyPr wrap="square" lIns="25400" tIns="25400" rIns="25400" bIns="254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152.3pt;margin-top:30.4pt;width:235.4pt;height:28.2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Arial Black" w:hAnsi="Arial Black"/>
                          <w:sz w:val="34"/>
                          <w:szCs w:val="34"/>
                          <w:rtl w:val="0"/>
                          <w:lang w:val="en-US"/>
                        </w:rPr>
                        <w:t>Sun 5pm - Mar 15, 2026</w:t>
                      </w:r>
                    </w:p>
                  </w:txbxContent>
                </v:textbox>
                <w10:wrap type="none" side="bothSides" anchorx="margin" anchory="page"/>
              </v:shape>
            </w:pict>
          </mc:Fallback>
        </mc:AlternateContent>
      </w:r>
    </w:p>
    <w:sectPr>
      <w:headerReference w:type="default" r:id="rId4"/>
      <w:footerReference w:type="default" r:id="rId5"/>
      <w:pgSz w:w="12240" w:h="15840" w:orient="portrait"/>
      <w:pgMar w:top="1440" w:right="720" w:bottom="720" w:left="72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Black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tab/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tabs>
          <w:tab w:val="right" w:pos="10800" w:leader="underscore"/>
        </w:tabs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right" w:pos="10800" w:leader="underscore"/>
        </w:tabs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right" w:pos="10800" w:leader="underscore"/>
        </w:tabs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right" w:pos="10800" w:leader="underscore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right" w:pos="10800" w:leader="underscore"/>
        </w:tabs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right" w:pos="10800" w:leader="underscore"/>
        </w:tabs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right" w:pos="10800" w:leader="underscore"/>
        </w:tabs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right" w:pos="10800" w:leader="underscore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right" w:pos="10800" w:leader="underscore"/>
        </w:tabs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